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rPr>
          <w:rFonts w:hint="eastAsia"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附件2</w:t>
      </w:r>
    </w:p>
    <w:p>
      <w:pPr>
        <w:spacing w:before="40"/>
        <w:ind w:firstLine="48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丽水经济技术开发区环境准入负面清单（禁止类）</w:t>
      </w:r>
    </w:p>
    <w:tbl>
      <w:tblPr>
        <w:tblStyle w:val="4"/>
        <w:tblW w:w="1418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35"/>
        <w:gridCol w:w="735"/>
        <w:gridCol w:w="1995"/>
        <w:gridCol w:w="1338"/>
        <w:gridCol w:w="27"/>
        <w:gridCol w:w="4719"/>
        <w:gridCol w:w="6"/>
        <w:gridCol w:w="2415"/>
        <w:gridCol w:w="21"/>
        <w:gridCol w:w="15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大类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中类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小类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类别名称</w:t>
            </w:r>
          </w:p>
        </w:tc>
        <w:tc>
          <w:tcPr>
            <w:tcW w:w="8526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禁止清单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行业清单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工艺清单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产品清单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16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烟草制品业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17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纺织业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含染整、脱胶工段或者产生缫丝废水、精炼废水的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18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纺织服装、服饰业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含湿法印花、印染工序的服装加工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19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皮革、毛皮、羽毛及其制品和制鞋业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191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皮革鞣制加工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193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毛皮鞣制及制品加工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毛皮鞣制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525" w:firstLineChars="250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木材加工和木、竹、藤、棕、草制品业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20" w:lineRule="exact"/>
              <w:ind w:right="-105" w:rightChars="-50" w:firstLine="315" w:firstLineChars="15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480"/>
              <w:jc w:val="lef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480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21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家具制造业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22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9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造纸和纸制品业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221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纸浆制造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222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造纸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25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90" w:lineRule="exac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石油、煤炭及其他燃料加工业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26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化学原料和化学制品制造业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基础化学原料制造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无机酸、无机碱、无机盐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同时执行《丽水经济技术开发区化工与新材料集中区规划》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肥料制造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农药制造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单纯复配、混合和分装的除外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涂料、油墨、颜料及类似产品制造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单纯混合和分装的除外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合成材料制造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1、涉及大量非水溶性VOCs 废气发生（&gt;20t/a）又未采用焚烧工艺处理</w:t>
            </w:r>
          </w:p>
          <w:p>
            <w:pPr>
              <w:widowControl/>
              <w:spacing w:after="31" w:afterLines="10"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2、涉及大量高浓难降解废水（水量&gt;20m</w:t>
            </w:r>
            <w:r>
              <w:rPr>
                <w:rFonts w:hint="eastAsia" w:ascii="仿宋_GB2312" w:eastAsia="仿宋_GB2312"/>
                <w:color w:val="000000"/>
                <w:kern w:val="0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/d、CODcr&gt;10000mg/L）发生</w:t>
            </w:r>
          </w:p>
          <w:p>
            <w:pPr>
              <w:widowControl/>
              <w:spacing w:after="31" w:afterLines="10"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3、租赁企业有有机合成反应的（给开发区主导产业配套的除外）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同时执行《丽水经济技术开发区化工与新材料集中区规划》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266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专用化学产品</w:t>
            </w:r>
          </w:p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1、涉及大量非水溶性VOCs 废气发生（&gt;20t/a）又未采用焚烧工艺处理</w:t>
            </w:r>
          </w:p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2、涉及大量高浓难降解废水（水量&gt;20m</w:t>
            </w:r>
            <w:r>
              <w:rPr>
                <w:rFonts w:hint="eastAsia" w:ascii="仿宋_GB2312" w:eastAsia="仿宋_GB2312"/>
                <w:color w:val="000000"/>
                <w:kern w:val="0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/d、CODcr&gt;10000mg/L）发生</w:t>
            </w:r>
          </w:p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3、租赁企业有有机合成反应的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267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炸药、火工及</w:t>
            </w:r>
          </w:p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焰火产品制造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日用化学产品制造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单纯混合和分装的除外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27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医药制造业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271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化学药品原料药制造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1、涉及大量非水溶性VOCs 废气发生（&gt;20t/a）又未采用焚烧工艺处理</w:t>
            </w:r>
          </w:p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2、涉及大量高浓难降解废水（水量&gt;20m</w:t>
            </w:r>
            <w:r>
              <w:rPr>
                <w:rFonts w:hint="eastAsia" w:ascii="仿宋_GB2312" w:eastAsia="仿宋_GB2312"/>
                <w:color w:val="000000"/>
                <w:kern w:val="0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/d、CODcr&gt;10000mg/L）发生</w:t>
            </w:r>
          </w:p>
          <w:p>
            <w:pPr>
              <w:widowControl/>
              <w:spacing w:after="31" w:afterLines="10"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3、污染较轻并经专家论证通过的除外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1、原料和产品涉及国家相关法律法规明令禁止的物质及极为恶臭（嗅阈值低于0.001ppm相当于甲硫醚的嗅阈值）；2、高毒、高风险物质的原料药建设项目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275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兽用药品制造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同时执行《丽水经济技术开发区化工与新材料集中区规划》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276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生物药品制品制造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1、排放丙烯酸酯类、对甲酚、含硫有机物、DMSO、异戊醇等恶臭类污染物；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2、工艺装备达不到“连续化、密闭化、自动化”要求，装备选型达不到国内先进水平；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3、必须使用完善、先进的废气治理工艺和装备，废气治理方案单独论证，经论证后否决的。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1、大规模制造抗生素、有机酸及相关生物制品；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</w:rPr>
              <w:t>2、小吨位高附加值的创新药或专利药制造除外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28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化学纤维制造业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除单纯纺丝外的其他产品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29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橡胶和塑料制品业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292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塑料制品业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涉及有毒原材料使用的人造革、发泡胶等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30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非金属矿物制品业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301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水泥、石灰和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石膏制造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303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砖瓦、石材等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建筑材料制造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在石材加工园区的除外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304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玻璃制造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耐火材料制品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制造 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31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黑色金属冶炼和压延加工业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311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炼铁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312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炼钢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314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铁合金冶炼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32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有色金属冶炼和压延加工业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321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常用有色金属冶炼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322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贵金属冶炼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323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稀有稀土金属冶炼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38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电气机械和器材制造业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384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电池制造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铅酸蓄电池制造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39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计算机、通信和其他电子设备制造业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1、含前工序的集成电路生产；2、使用含苯溶剂的项目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印刷线路板生产，显示器件生产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41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其他制造业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412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核辐射加工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42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废弃资源综合利用业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为开发区产业配套的除外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59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装卸搬运和仓储业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有毒、有害及危险品的仓储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给开发区配套的除外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77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生态保护和环境治理</w:t>
            </w:r>
          </w:p>
        </w:tc>
        <w:tc>
          <w:tcPr>
            <w:tcW w:w="10085" w:type="dxa"/>
            <w:gridSpan w:val="7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772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环境治理业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固体废物、危险废物、放射性废物治理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after="31" w:afterLines="10" w:line="34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给开发区配套的除外</w:t>
            </w:r>
          </w:p>
        </w:tc>
      </w:tr>
    </w:tbl>
    <w:p>
      <w:pPr>
        <w:snapToGrid w:val="0"/>
        <w:spacing w:line="560" w:lineRule="atLeast"/>
        <w:rPr>
          <w:rFonts w:hint="eastAsia" w:ascii="仿宋_GB2312"/>
          <w:spacing w:val="-6"/>
        </w:rPr>
        <w:sectPr>
          <w:footerReference r:id="rId3" w:type="default"/>
          <w:footerReference r:id="rId4" w:type="even"/>
          <w:pgSz w:w="16840" w:h="11907" w:orient="landscape"/>
          <w:pgMar w:top="1588" w:right="2155" w:bottom="1474" w:left="1985" w:header="851" w:footer="1474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150"/>
      <w:rPr>
        <w:rFonts w:hint="eastAsia"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659F"/>
    <w:rsid w:val="033165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2018-11-19T02:35:00Z</dcterms:created>
  <dc:creator>hero¨。</dc:creator>
  <cp:lastModifiedBy>hero¨。</cp:lastModifiedBy>
  <dcterms:modified xsi:type="dcterms:W3CDTF">2018-11-19T02:36:22Z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